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0AE6" w14:textId="0A7EE209" w:rsidR="004E4C52" w:rsidRPr="004E4C52" w:rsidRDefault="004E4C52" w:rsidP="007A0ECA">
      <w:pPr>
        <w:spacing w:after="0"/>
        <w:jc w:val="both"/>
        <w:rPr>
          <w:rFonts w:ascii="Arial" w:hAnsi="Arial" w:cs="Arial"/>
          <w:sz w:val="20"/>
          <w:szCs w:val="20"/>
        </w:rPr>
      </w:pPr>
      <w:r w:rsidRPr="004C4B7A">
        <w:rPr>
          <w:rFonts w:ascii="Arial" w:hAnsi="Arial" w:cs="Arial"/>
          <w:sz w:val="20"/>
          <w:szCs w:val="20"/>
        </w:rPr>
        <w:t xml:space="preserve">The Lawton Tube Group (“the Group”) is </w:t>
      </w:r>
      <w:r w:rsidR="0037484B">
        <w:rPr>
          <w:rFonts w:ascii="Arial" w:hAnsi="Arial" w:cs="Arial"/>
          <w:sz w:val="20"/>
          <w:szCs w:val="20"/>
        </w:rPr>
        <w:t>a UK</w:t>
      </w:r>
      <w:r w:rsidR="00060AF8" w:rsidRPr="004C4B7A">
        <w:rPr>
          <w:rFonts w:ascii="Arial" w:hAnsi="Arial" w:cs="Arial"/>
          <w:sz w:val="20"/>
          <w:szCs w:val="20"/>
        </w:rPr>
        <w:t xml:space="preserve"> copper tubes and copper pipes supplier with global reach.  </w:t>
      </w:r>
      <w:r w:rsidR="00060AF8" w:rsidRPr="00155D05">
        <w:rPr>
          <w:rFonts w:ascii="Arial" w:hAnsi="Arial" w:cs="Arial"/>
          <w:sz w:val="20"/>
          <w:szCs w:val="20"/>
        </w:rPr>
        <w:t xml:space="preserve">Through a vast network of national and independent merchants </w:t>
      </w:r>
      <w:r w:rsidR="00155D05" w:rsidRPr="00155D05">
        <w:rPr>
          <w:rFonts w:ascii="Arial" w:hAnsi="Arial" w:cs="Arial"/>
          <w:sz w:val="20"/>
          <w:szCs w:val="20"/>
        </w:rPr>
        <w:t xml:space="preserve">the Group </w:t>
      </w:r>
      <w:r w:rsidR="00060AF8" w:rsidRPr="00155D05">
        <w:rPr>
          <w:rFonts w:ascii="Arial" w:hAnsi="Arial" w:cs="Arial"/>
          <w:sz w:val="20"/>
          <w:szCs w:val="20"/>
        </w:rPr>
        <w:t>sell</w:t>
      </w:r>
      <w:r w:rsidR="00155D05" w:rsidRPr="00155D05">
        <w:rPr>
          <w:rFonts w:ascii="Arial" w:hAnsi="Arial" w:cs="Arial"/>
          <w:sz w:val="20"/>
          <w:szCs w:val="20"/>
        </w:rPr>
        <w:t>s</w:t>
      </w:r>
      <w:r w:rsidR="00060AF8" w:rsidRPr="00155D05">
        <w:rPr>
          <w:rFonts w:ascii="Arial" w:hAnsi="Arial" w:cs="Arial"/>
          <w:sz w:val="20"/>
          <w:szCs w:val="20"/>
        </w:rPr>
        <w:t xml:space="preserve"> plumbing and air-conditioning copper tube, as well as </w:t>
      </w:r>
      <w:r w:rsidR="0037484B">
        <w:rPr>
          <w:rFonts w:ascii="Arial" w:hAnsi="Arial" w:cs="Arial"/>
          <w:sz w:val="20"/>
          <w:szCs w:val="20"/>
        </w:rPr>
        <w:t xml:space="preserve">being a </w:t>
      </w:r>
      <w:r w:rsidR="00060AF8" w:rsidRPr="00155D05">
        <w:rPr>
          <w:rFonts w:ascii="Arial" w:hAnsi="Arial" w:cs="Arial"/>
          <w:sz w:val="20"/>
          <w:szCs w:val="20"/>
        </w:rPr>
        <w:t xml:space="preserve">medical gas copper tube and </w:t>
      </w:r>
      <w:r w:rsidR="0037484B">
        <w:rPr>
          <w:rFonts w:ascii="Arial" w:hAnsi="Arial" w:cs="Arial"/>
          <w:sz w:val="20"/>
          <w:szCs w:val="20"/>
        </w:rPr>
        <w:t>engineering/industrial tube</w:t>
      </w:r>
      <w:r w:rsidR="00060AF8" w:rsidRPr="00155D05">
        <w:rPr>
          <w:rFonts w:ascii="Arial" w:hAnsi="Arial" w:cs="Arial"/>
          <w:sz w:val="20"/>
          <w:szCs w:val="20"/>
        </w:rPr>
        <w:t>.</w:t>
      </w:r>
      <w:r w:rsidR="0037484B">
        <w:rPr>
          <w:rFonts w:ascii="Arial" w:hAnsi="Arial" w:cs="Arial"/>
          <w:sz w:val="20"/>
          <w:szCs w:val="20"/>
        </w:rPr>
        <w:t xml:space="preserve"> In addition, it sells and distributes a whole range of fittings and accessory products.</w:t>
      </w:r>
    </w:p>
    <w:p w14:paraId="66BBE42E" w14:textId="77777777" w:rsidR="004E4C52" w:rsidRPr="004E4C52" w:rsidRDefault="004E4C52" w:rsidP="007A0ECA">
      <w:pPr>
        <w:spacing w:after="0"/>
        <w:jc w:val="both"/>
        <w:rPr>
          <w:rFonts w:ascii="Arial" w:hAnsi="Arial" w:cs="Arial"/>
          <w:sz w:val="20"/>
          <w:szCs w:val="20"/>
        </w:rPr>
      </w:pPr>
    </w:p>
    <w:p w14:paraId="68BB4B69" w14:textId="0C884A71"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 xml:space="preserve">This </w:t>
      </w:r>
      <w:r w:rsidR="00D90FEA">
        <w:rPr>
          <w:rFonts w:ascii="Arial" w:hAnsi="Arial" w:cs="Arial"/>
          <w:sz w:val="20"/>
          <w:szCs w:val="20"/>
        </w:rPr>
        <w:t>T</w:t>
      </w:r>
      <w:r w:rsidRPr="004E4C52">
        <w:rPr>
          <w:rFonts w:ascii="Arial" w:hAnsi="Arial" w:cs="Arial"/>
          <w:sz w:val="20"/>
          <w:szCs w:val="20"/>
        </w:rPr>
        <w:t xml:space="preserve">ax </w:t>
      </w:r>
      <w:r w:rsidR="00D90FEA">
        <w:rPr>
          <w:rFonts w:ascii="Arial" w:hAnsi="Arial" w:cs="Arial"/>
          <w:sz w:val="20"/>
          <w:szCs w:val="20"/>
        </w:rPr>
        <w:t>S</w:t>
      </w:r>
      <w:r w:rsidRPr="004E4C52">
        <w:rPr>
          <w:rFonts w:ascii="Arial" w:hAnsi="Arial" w:cs="Arial"/>
          <w:sz w:val="20"/>
          <w:szCs w:val="20"/>
        </w:rPr>
        <w:t xml:space="preserve">trategy is approved by the Board and is subject to </w:t>
      </w:r>
      <w:r w:rsidR="00155D05">
        <w:rPr>
          <w:rFonts w:ascii="Arial" w:hAnsi="Arial" w:cs="Arial"/>
          <w:sz w:val="20"/>
          <w:szCs w:val="20"/>
        </w:rPr>
        <w:t xml:space="preserve">an </w:t>
      </w:r>
      <w:r w:rsidRPr="004E4C52">
        <w:rPr>
          <w:rFonts w:ascii="Arial" w:hAnsi="Arial" w:cs="Arial"/>
          <w:sz w:val="20"/>
          <w:szCs w:val="20"/>
        </w:rPr>
        <w:t>annual review</w:t>
      </w:r>
      <w:r w:rsidR="000707D8">
        <w:rPr>
          <w:rFonts w:ascii="Arial" w:hAnsi="Arial" w:cs="Arial"/>
          <w:sz w:val="20"/>
          <w:szCs w:val="20"/>
        </w:rPr>
        <w:t xml:space="preserve"> and </w:t>
      </w:r>
      <w:r w:rsidR="00E83264" w:rsidRPr="00E83264">
        <w:rPr>
          <w:rFonts w:ascii="Arial" w:hAnsi="Arial" w:cs="Arial"/>
          <w:sz w:val="20"/>
          <w:szCs w:val="20"/>
        </w:rPr>
        <w:t>is published in reference to the financial year ending 3</w:t>
      </w:r>
      <w:r w:rsidR="002275D3">
        <w:rPr>
          <w:rFonts w:ascii="Arial" w:hAnsi="Arial" w:cs="Arial"/>
          <w:sz w:val="20"/>
          <w:szCs w:val="20"/>
        </w:rPr>
        <w:t>0</w:t>
      </w:r>
      <w:r w:rsidR="00E83264" w:rsidRPr="00E83264">
        <w:rPr>
          <w:rFonts w:ascii="Arial" w:hAnsi="Arial" w:cs="Arial"/>
          <w:sz w:val="20"/>
          <w:szCs w:val="20"/>
        </w:rPr>
        <w:t xml:space="preserve"> </w:t>
      </w:r>
      <w:r w:rsidR="002275D3">
        <w:rPr>
          <w:rFonts w:ascii="Arial" w:hAnsi="Arial" w:cs="Arial"/>
          <w:sz w:val="20"/>
          <w:szCs w:val="20"/>
        </w:rPr>
        <w:t>Septem</w:t>
      </w:r>
      <w:r w:rsidR="00E83264" w:rsidRPr="00E83264">
        <w:rPr>
          <w:rFonts w:ascii="Arial" w:hAnsi="Arial" w:cs="Arial"/>
          <w:sz w:val="20"/>
          <w:szCs w:val="20"/>
        </w:rPr>
        <w:t>ber 202</w:t>
      </w:r>
      <w:r w:rsidR="0037484B">
        <w:rPr>
          <w:rFonts w:ascii="Arial" w:hAnsi="Arial" w:cs="Arial"/>
          <w:sz w:val="20"/>
          <w:szCs w:val="20"/>
        </w:rPr>
        <w:t>4</w:t>
      </w:r>
      <w:r w:rsidR="000707D8">
        <w:rPr>
          <w:rFonts w:ascii="Arial" w:hAnsi="Arial" w:cs="Arial"/>
          <w:sz w:val="20"/>
          <w:szCs w:val="20"/>
        </w:rPr>
        <w:t>.  P</w:t>
      </w:r>
      <w:r w:rsidRPr="004E4C52">
        <w:rPr>
          <w:rFonts w:ascii="Arial" w:hAnsi="Arial" w:cs="Arial"/>
          <w:sz w:val="20"/>
          <w:szCs w:val="20"/>
        </w:rPr>
        <w:t>ublication</w:t>
      </w:r>
      <w:r w:rsidR="00060AF8">
        <w:rPr>
          <w:rFonts w:ascii="Arial" w:hAnsi="Arial" w:cs="Arial"/>
          <w:sz w:val="20"/>
          <w:szCs w:val="20"/>
        </w:rPr>
        <w:t xml:space="preserve"> of this strategy</w:t>
      </w:r>
      <w:r w:rsidRPr="004E4C52">
        <w:rPr>
          <w:rFonts w:ascii="Arial" w:hAnsi="Arial" w:cs="Arial"/>
          <w:sz w:val="20"/>
          <w:szCs w:val="20"/>
        </w:rPr>
        <w:t xml:space="preserve"> complies with the requirements of </w:t>
      </w:r>
      <w:r w:rsidR="00060AF8">
        <w:rPr>
          <w:rFonts w:ascii="Arial" w:hAnsi="Arial" w:cs="Arial"/>
          <w:sz w:val="20"/>
          <w:szCs w:val="20"/>
        </w:rPr>
        <w:t xml:space="preserve">Paragraph 16 (2) </w:t>
      </w:r>
      <w:r w:rsidR="00D40D83">
        <w:rPr>
          <w:rFonts w:ascii="Arial" w:hAnsi="Arial" w:cs="Arial"/>
          <w:sz w:val="20"/>
          <w:szCs w:val="20"/>
        </w:rPr>
        <w:t xml:space="preserve">and (4) </w:t>
      </w:r>
      <w:r w:rsidR="00060AF8">
        <w:rPr>
          <w:rFonts w:ascii="Arial" w:hAnsi="Arial" w:cs="Arial"/>
          <w:sz w:val="20"/>
          <w:szCs w:val="20"/>
        </w:rPr>
        <w:t xml:space="preserve">of </w:t>
      </w:r>
      <w:r w:rsidR="00060AF8" w:rsidRPr="00060AF8">
        <w:rPr>
          <w:rFonts w:ascii="Arial" w:hAnsi="Arial" w:cs="Arial"/>
          <w:sz w:val="20"/>
          <w:szCs w:val="20"/>
        </w:rPr>
        <w:t>Schedule 19</w:t>
      </w:r>
      <w:r w:rsidR="00060AF8">
        <w:rPr>
          <w:rFonts w:ascii="Arial" w:hAnsi="Arial" w:cs="Arial"/>
          <w:sz w:val="20"/>
          <w:szCs w:val="20"/>
        </w:rPr>
        <w:t xml:space="preserve"> </w:t>
      </w:r>
      <w:r w:rsidRPr="004E4C52">
        <w:rPr>
          <w:rFonts w:ascii="Arial" w:hAnsi="Arial" w:cs="Arial"/>
          <w:sz w:val="20"/>
          <w:szCs w:val="20"/>
        </w:rPr>
        <w:t>Finance Act 2016</w:t>
      </w:r>
      <w:r w:rsidR="00060AF8">
        <w:rPr>
          <w:rFonts w:ascii="Arial" w:hAnsi="Arial" w:cs="Arial"/>
          <w:sz w:val="20"/>
          <w:szCs w:val="20"/>
        </w:rPr>
        <w:t>.</w:t>
      </w:r>
    </w:p>
    <w:p w14:paraId="7448DF3F" w14:textId="77777777" w:rsidR="004E4C52" w:rsidRPr="004E4C52" w:rsidRDefault="004E4C52" w:rsidP="007A0ECA">
      <w:pPr>
        <w:spacing w:after="0"/>
        <w:jc w:val="both"/>
        <w:rPr>
          <w:rFonts w:ascii="Arial" w:hAnsi="Arial" w:cs="Arial"/>
          <w:sz w:val="20"/>
          <w:szCs w:val="20"/>
        </w:rPr>
      </w:pPr>
    </w:p>
    <w:p w14:paraId="2AA96781" w14:textId="2A7CBC7A" w:rsidR="004E4C52" w:rsidRPr="000E7DF5" w:rsidRDefault="004E4C52" w:rsidP="007A0ECA">
      <w:pPr>
        <w:spacing w:after="0"/>
        <w:jc w:val="both"/>
        <w:rPr>
          <w:rFonts w:ascii="Arial" w:hAnsi="Arial" w:cs="Arial"/>
          <w:b/>
          <w:bCs/>
          <w:sz w:val="20"/>
          <w:szCs w:val="20"/>
          <w:u w:val="single"/>
        </w:rPr>
      </w:pPr>
      <w:r w:rsidRPr="000E7DF5">
        <w:rPr>
          <w:rFonts w:ascii="Arial" w:hAnsi="Arial" w:cs="Arial"/>
          <w:b/>
          <w:bCs/>
          <w:sz w:val="20"/>
          <w:szCs w:val="20"/>
          <w:u w:val="single"/>
        </w:rPr>
        <w:t>The Lawton Tube Group Tax Strategy</w:t>
      </w:r>
    </w:p>
    <w:p w14:paraId="6F2DF60A" w14:textId="77777777" w:rsidR="004E4C52" w:rsidRDefault="004E4C52" w:rsidP="007A0ECA">
      <w:pPr>
        <w:spacing w:after="0"/>
        <w:jc w:val="both"/>
        <w:rPr>
          <w:rFonts w:ascii="Arial" w:hAnsi="Arial" w:cs="Arial"/>
          <w:sz w:val="20"/>
          <w:szCs w:val="20"/>
        </w:rPr>
      </w:pPr>
    </w:p>
    <w:p w14:paraId="7DF599C3" w14:textId="099E8673" w:rsidR="00D90FEA" w:rsidRDefault="00D90FEA" w:rsidP="007A0ECA">
      <w:pPr>
        <w:spacing w:after="0"/>
        <w:jc w:val="both"/>
        <w:rPr>
          <w:rFonts w:ascii="Arial" w:hAnsi="Arial" w:cs="Arial"/>
          <w:sz w:val="20"/>
          <w:szCs w:val="20"/>
        </w:rPr>
      </w:pPr>
      <w:r w:rsidRPr="00D90FEA">
        <w:rPr>
          <w:rFonts w:ascii="Arial" w:hAnsi="Arial" w:cs="Arial"/>
          <w:sz w:val="20"/>
          <w:szCs w:val="20"/>
        </w:rPr>
        <w:t>The purpose of this Tax Strategy is to communicate the Group’s policy for the management of tax.  It is important to ensure that consistent and effective tax standards are maintained across the Group, as tax (both direct and indirect) can have a significant cash and profit &amp; loss impact on many of the Group’s business activities.  This Tax Strategy sets out the Group’s approach to managing the Group’s tax affairs and the associated risks.</w:t>
      </w:r>
    </w:p>
    <w:p w14:paraId="1DB0A1A5" w14:textId="77777777" w:rsidR="00D90FEA" w:rsidRDefault="00D90FEA" w:rsidP="007A0ECA">
      <w:pPr>
        <w:spacing w:after="0"/>
        <w:jc w:val="both"/>
        <w:rPr>
          <w:rFonts w:ascii="Arial" w:hAnsi="Arial" w:cs="Arial"/>
          <w:sz w:val="20"/>
          <w:szCs w:val="20"/>
        </w:rPr>
      </w:pPr>
    </w:p>
    <w:p w14:paraId="3FF47DD4" w14:textId="4BF84EF6"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 xml:space="preserve">The </w:t>
      </w:r>
      <w:r>
        <w:rPr>
          <w:rFonts w:ascii="Arial" w:hAnsi="Arial" w:cs="Arial"/>
          <w:sz w:val="20"/>
          <w:szCs w:val="20"/>
        </w:rPr>
        <w:t xml:space="preserve">Lawton Tube </w:t>
      </w:r>
      <w:r w:rsidRPr="004E4C52">
        <w:rPr>
          <w:rFonts w:ascii="Arial" w:hAnsi="Arial" w:cs="Arial"/>
          <w:sz w:val="20"/>
          <w:szCs w:val="20"/>
        </w:rPr>
        <w:t xml:space="preserve">Group </w:t>
      </w:r>
      <w:r w:rsidR="00D90FEA">
        <w:rPr>
          <w:rFonts w:ascii="Arial" w:hAnsi="Arial" w:cs="Arial"/>
          <w:sz w:val="20"/>
          <w:szCs w:val="20"/>
        </w:rPr>
        <w:t>T</w:t>
      </w:r>
      <w:r w:rsidRPr="004E4C52">
        <w:rPr>
          <w:rFonts w:ascii="Arial" w:hAnsi="Arial" w:cs="Arial"/>
          <w:sz w:val="20"/>
          <w:szCs w:val="20"/>
        </w:rPr>
        <w:t xml:space="preserve">ax </w:t>
      </w:r>
      <w:r w:rsidR="00D90FEA">
        <w:rPr>
          <w:rFonts w:ascii="Arial" w:hAnsi="Arial" w:cs="Arial"/>
          <w:sz w:val="20"/>
          <w:szCs w:val="20"/>
        </w:rPr>
        <w:t>S</w:t>
      </w:r>
      <w:r w:rsidRPr="004E4C52">
        <w:rPr>
          <w:rFonts w:ascii="Arial" w:hAnsi="Arial" w:cs="Arial"/>
          <w:sz w:val="20"/>
          <w:szCs w:val="20"/>
        </w:rPr>
        <w:t xml:space="preserve">trategy is as follows: </w:t>
      </w:r>
    </w:p>
    <w:p w14:paraId="218C102D" w14:textId="77777777" w:rsidR="004E4C52" w:rsidRPr="004E4C52" w:rsidRDefault="004E4C52" w:rsidP="007A0ECA">
      <w:pPr>
        <w:spacing w:after="0"/>
        <w:jc w:val="both"/>
        <w:rPr>
          <w:rFonts w:ascii="Arial" w:hAnsi="Arial" w:cs="Arial"/>
          <w:sz w:val="20"/>
          <w:szCs w:val="20"/>
        </w:rPr>
      </w:pPr>
    </w:p>
    <w:p w14:paraId="15553FE1" w14:textId="09087568" w:rsidR="004E4C52" w:rsidRPr="004E4C52" w:rsidRDefault="00060AF8" w:rsidP="007A0ECA">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Group </w:t>
      </w:r>
      <w:r w:rsidR="004E4C52" w:rsidRPr="004E4C52">
        <w:rPr>
          <w:rFonts w:ascii="Arial" w:hAnsi="Arial" w:cs="Arial"/>
          <w:sz w:val="20"/>
          <w:szCs w:val="20"/>
        </w:rPr>
        <w:t>compl</w:t>
      </w:r>
      <w:r>
        <w:rPr>
          <w:rFonts w:ascii="Arial" w:hAnsi="Arial" w:cs="Arial"/>
          <w:sz w:val="20"/>
          <w:szCs w:val="20"/>
        </w:rPr>
        <w:t>ies</w:t>
      </w:r>
      <w:r w:rsidR="004E4C52" w:rsidRPr="004E4C52">
        <w:rPr>
          <w:rFonts w:ascii="Arial" w:hAnsi="Arial" w:cs="Arial"/>
          <w:sz w:val="20"/>
          <w:szCs w:val="20"/>
        </w:rPr>
        <w:t xml:space="preserve"> with the spirit as well as the letter of the law in all the countries in which we operate, and we seek to pay the right amount of tax at the right time and in the right place.</w:t>
      </w:r>
    </w:p>
    <w:p w14:paraId="028050B1" w14:textId="44C1830B" w:rsidR="004E4C52" w:rsidRPr="004E4C52" w:rsidRDefault="00060AF8" w:rsidP="007A0ECA">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Group </w:t>
      </w:r>
      <w:r w:rsidR="004E4C52" w:rsidRPr="004E4C52">
        <w:rPr>
          <w:rFonts w:ascii="Arial" w:hAnsi="Arial" w:cs="Arial"/>
          <w:sz w:val="20"/>
          <w:szCs w:val="20"/>
        </w:rPr>
        <w:t>ha</w:t>
      </w:r>
      <w:r>
        <w:rPr>
          <w:rFonts w:ascii="Arial" w:hAnsi="Arial" w:cs="Arial"/>
          <w:sz w:val="20"/>
          <w:szCs w:val="20"/>
        </w:rPr>
        <w:t>s</w:t>
      </w:r>
      <w:r w:rsidR="004E4C52" w:rsidRPr="004E4C52">
        <w:rPr>
          <w:rFonts w:ascii="Arial" w:hAnsi="Arial" w:cs="Arial"/>
          <w:sz w:val="20"/>
          <w:szCs w:val="20"/>
        </w:rPr>
        <w:t xml:space="preserve"> established controls and risk management processes to reduce the risk of non-compliance or misstatement and to enable identification of key risks.</w:t>
      </w:r>
    </w:p>
    <w:p w14:paraId="0FA44163" w14:textId="4AAAA242" w:rsidR="004E4C52" w:rsidRDefault="00060AF8" w:rsidP="007A0ECA">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Group </w:t>
      </w:r>
      <w:r w:rsidR="004E4C52" w:rsidRPr="004E4C52">
        <w:rPr>
          <w:rFonts w:ascii="Arial" w:hAnsi="Arial" w:cs="Arial"/>
          <w:sz w:val="20"/>
          <w:szCs w:val="20"/>
        </w:rPr>
        <w:t>manage</w:t>
      </w:r>
      <w:r>
        <w:rPr>
          <w:rFonts w:ascii="Arial" w:hAnsi="Arial" w:cs="Arial"/>
          <w:sz w:val="20"/>
          <w:szCs w:val="20"/>
        </w:rPr>
        <w:t>s</w:t>
      </w:r>
      <w:r w:rsidR="004E4C52" w:rsidRPr="004E4C52">
        <w:rPr>
          <w:rFonts w:ascii="Arial" w:hAnsi="Arial" w:cs="Arial"/>
          <w:sz w:val="20"/>
          <w:szCs w:val="20"/>
        </w:rPr>
        <w:t xml:space="preserve"> taxes efficiently to support our business activities. </w:t>
      </w:r>
      <w:r>
        <w:rPr>
          <w:rFonts w:ascii="Arial" w:hAnsi="Arial" w:cs="Arial"/>
          <w:sz w:val="20"/>
          <w:szCs w:val="20"/>
        </w:rPr>
        <w:t xml:space="preserve"> The Group does not </w:t>
      </w:r>
      <w:r w:rsidR="004E4C52" w:rsidRPr="004E4C52">
        <w:rPr>
          <w:rFonts w:ascii="Arial" w:hAnsi="Arial" w:cs="Arial"/>
          <w:sz w:val="20"/>
          <w:szCs w:val="20"/>
        </w:rPr>
        <w:t xml:space="preserve">engage in tax evasion or </w:t>
      </w:r>
      <w:r>
        <w:rPr>
          <w:rFonts w:ascii="Arial" w:hAnsi="Arial" w:cs="Arial"/>
          <w:sz w:val="20"/>
          <w:szCs w:val="20"/>
        </w:rPr>
        <w:t xml:space="preserve">tax </w:t>
      </w:r>
      <w:r w:rsidR="004E4C52" w:rsidRPr="004E4C52">
        <w:rPr>
          <w:rFonts w:ascii="Arial" w:hAnsi="Arial" w:cs="Arial"/>
          <w:sz w:val="20"/>
          <w:szCs w:val="20"/>
        </w:rPr>
        <w:t xml:space="preserve">planning which aims to achieve results contrary to the spirit of </w:t>
      </w:r>
      <w:r>
        <w:rPr>
          <w:rFonts w:ascii="Arial" w:hAnsi="Arial" w:cs="Arial"/>
          <w:sz w:val="20"/>
          <w:szCs w:val="20"/>
        </w:rPr>
        <w:t xml:space="preserve">any tax </w:t>
      </w:r>
      <w:r w:rsidR="004E4C52" w:rsidRPr="004E4C52">
        <w:rPr>
          <w:rFonts w:ascii="Arial" w:hAnsi="Arial" w:cs="Arial"/>
          <w:sz w:val="20"/>
          <w:szCs w:val="20"/>
        </w:rPr>
        <w:t>legislation.</w:t>
      </w:r>
    </w:p>
    <w:p w14:paraId="459C4355" w14:textId="546C3235" w:rsidR="00BE1EB5" w:rsidRPr="004E4C52" w:rsidRDefault="00BE1EB5" w:rsidP="007A0ECA">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Group’s tax strategy is </w:t>
      </w:r>
      <w:r w:rsidRPr="00BE1EB5">
        <w:rPr>
          <w:rFonts w:ascii="Arial" w:hAnsi="Arial" w:cs="Arial"/>
          <w:sz w:val="20"/>
          <w:szCs w:val="20"/>
        </w:rPr>
        <w:t xml:space="preserve">in line with the overall strategy and operation of </w:t>
      </w:r>
      <w:r>
        <w:rPr>
          <w:rFonts w:ascii="Arial" w:hAnsi="Arial" w:cs="Arial"/>
          <w:sz w:val="20"/>
          <w:szCs w:val="20"/>
        </w:rPr>
        <w:t xml:space="preserve">the </w:t>
      </w:r>
      <w:r w:rsidRPr="00BE1EB5">
        <w:rPr>
          <w:rFonts w:ascii="Arial" w:hAnsi="Arial" w:cs="Arial"/>
          <w:sz w:val="20"/>
          <w:szCs w:val="20"/>
        </w:rPr>
        <w:t>business</w:t>
      </w:r>
      <w:r>
        <w:rPr>
          <w:rFonts w:ascii="Arial" w:hAnsi="Arial" w:cs="Arial"/>
          <w:sz w:val="20"/>
          <w:szCs w:val="20"/>
        </w:rPr>
        <w:t>.</w:t>
      </w:r>
    </w:p>
    <w:p w14:paraId="2B6D3774" w14:textId="7712C4C1" w:rsidR="004E4C52" w:rsidRPr="004E4C52" w:rsidRDefault="00060AF8" w:rsidP="007A0ECA">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Group </w:t>
      </w:r>
      <w:r w:rsidR="004E4C52" w:rsidRPr="004E4C52">
        <w:rPr>
          <w:rFonts w:ascii="Arial" w:hAnsi="Arial" w:cs="Arial"/>
          <w:sz w:val="20"/>
          <w:szCs w:val="20"/>
        </w:rPr>
        <w:t>aim</w:t>
      </w:r>
      <w:r>
        <w:rPr>
          <w:rFonts w:ascii="Arial" w:hAnsi="Arial" w:cs="Arial"/>
          <w:sz w:val="20"/>
          <w:szCs w:val="20"/>
        </w:rPr>
        <w:t>s</w:t>
      </w:r>
      <w:r w:rsidR="004E4C52" w:rsidRPr="004E4C52">
        <w:rPr>
          <w:rFonts w:ascii="Arial" w:hAnsi="Arial" w:cs="Arial"/>
          <w:sz w:val="20"/>
          <w:szCs w:val="20"/>
        </w:rPr>
        <w:t xml:space="preserve"> to build meaningful relationships and maintain open dialogue with </w:t>
      </w:r>
      <w:r>
        <w:rPr>
          <w:rFonts w:ascii="Arial" w:hAnsi="Arial" w:cs="Arial"/>
          <w:sz w:val="20"/>
          <w:szCs w:val="20"/>
        </w:rPr>
        <w:t xml:space="preserve">UK and overseas </w:t>
      </w:r>
      <w:r w:rsidR="004E4C52" w:rsidRPr="004E4C52">
        <w:rPr>
          <w:rFonts w:ascii="Arial" w:hAnsi="Arial" w:cs="Arial"/>
          <w:sz w:val="20"/>
          <w:szCs w:val="20"/>
        </w:rPr>
        <w:t>tax authorities.</w:t>
      </w:r>
    </w:p>
    <w:p w14:paraId="164C3176" w14:textId="77777777" w:rsidR="004E4C52" w:rsidRDefault="004E4C52" w:rsidP="007A0ECA">
      <w:pPr>
        <w:spacing w:after="0"/>
        <w:jc w:val="both"/>
        <w:rPr>
          <w:rFonts w:ascii="Arial" w:hAnsi="Arial" w:cs="Arial"/>
          <w:sz w:val="20"/>
          <w:szCs w:val="20"/>
        </w:rPr>
      </w:pPr>
    </w:p>
    <w:p w14:paraId="17F5285F" w14:textId="77777777" w:rsidR="004E4C52" w:rsidRDefault="004E4C52" w:rsidP="007A0ECA">
      <w:pPr>
        <w:spacing w:after="0"/>
        <w:jc w:val="both"/>
        <w:rPr>
          <w:rFonts w:ascii="Arial" w:hAnsi="Arial" w:cs="Arial"/>
          <w:b/>
          <w:bCs/>
          <w:sz w:val="20"/>
          <w:szCs w:val="20"/>
          <w:u w:val="single"/>
        </w:rPr>
      </w:pPr>
      <w:r w:rsidRPr="004E4C52">
        <w:rPr>
          <w:rFonts w:ascii="Arial" w:hAnsi="Arial" w:cs="Arial"/>
          <w:b/>
          <w:bCs/>
          <w:sz w:val="20"/>
          <w:szCs w:val="20"/>
          <w:u w:val="single"/>
        </w:rPr>
        <w:t>Tax risk management and governance arrangements</w:t>
      </w:r>
    </w:p>
    <w:p w14:paraId="19B143A0" w14:textId="77777777" w:rsidR="000E7DF5" w:rsidRPr="004E4C52" w:rsidRDefault="000E7DF5" w:rsidP="007A0ECA">
      <w:pPr>
        <w:spacing w:after="0"/>
        <w:jc w:val="both"/>
        <w:rPr>
          <w:rFonts w:ascii="Arial" w:hAnsi="Arial" w:cs="Arial"/>
          <w:b/>
          <w:bCs/>
          <w:sz w:val="20"/>
          <w:szCs w:val="20"/>
          <w:u w:val="single"/>
        </w:rPr>
      </w:pPr>
    </w:p>
    <w:p w14:paraId="331A8613" w14:textId="3F24474E"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 xml:space="preserve">The Board member with executive responsibility for tax matters is the </w:t>
      </w:r>
      <w:r w:rsidR="00060AF8">
        <w:rPr>
          <w:rFonts w:ascii="Arial" w:hAnsi="Arial" w:cs="Arial"/>
          <w:sz w:val="20"/>
          <w:szCs w:val="20"/>
        </w:rPr>
        <w:t>Director of Finance</w:t>
      </w:r>
      <w:r w:rsidRPr="004E4C52">
        <w:rPr>
          <w:rFonts w:ascii="Arial" w:hAnsi="Arial" w:cs="Arial"/>
          <w:sz w:val="20"/>
          <w:szCs w:val="20"/>
        </w:rPr>
        <w:t xml:space="preserve">, who is also the Senior Accounting Officer (SAO) under </w:t>
      </w:r>
      <w:r w:rsidR="00060AF8">
        <w:rPr>
          <w:rFonts w:ascii="Arial" w:hAnsi="Arial" w:cs="Arial"/>
          <w:sz w:val="20"/>
          <w:szCs w:val="20"/>
        </w:rPr>
        <w:t xml:space="preserve">the </w:t>
      </w:r>
      <w:r w:rsidRPr="004E4C52">
        <w:rPr>
          <w:rFonts w:ascii="Arial" w:hAnsi="Arial" w:cs="Arial"/>
          <w:sz w:val="20"/>
          <w:szCs w:val="20"/>
        </w:rPr>
        <w:t>UK tax legislation</w:t>
      </w:r>
      <w:r w:rsidR="00060AF8">
        <w:rPr>
          <w:rFonts w:ascii="Arial" w:hAnsi="Arial" w:cs="Arial"/>
          <w:sz w:val="20"/>
          <w:szCs w:val="20"/>
        </w:rPr>
        <w:t xml:space="preserve"> in </w:t>
      </w:r>
      <w:r w:rsidR="00060AF8" w:rsidRPr="00060AF8">
        <w:rPr>
          <w:rFonts w:ascii="Arial" w:hAnsi="Arial" w:cs="Arial"/>
          <w:sz w:val="20"/>
          <w:szCs w:val="20"/>
        </w:rPr>
        <w:t>Schedule 46 Finance Act 2009</w:t>
      </w:r>
      <w:r w:rsidR="00060AF8">
        <w:rPr>
          <w:rFonts w:ascii="Arial" w:hAnsi="Arial" w:cs="Arial"/>
          <w:sz w:val="20"/>
          <w:szCs w:val="20"/>
        </w:rPr>
        <w:t>.</w:t>
      </w:r>
    </w:p>
    <w:p w14:paraId="1B965E45" w14:textId="77777777" w:rsidR="004E4C52" w:rsidRPr="004E4C52" w:rsidRDefault="004E4C52" w:rsidP="007A0ECA">
      <w:pPr>
        <w:spacing w:after="0"/>
        <w:jc w:val="both"/>
        <w:rPr>
          <w:rFonts w:ascii="Arial" w:hAnsi="Arial" w:cs="Arial"/>
          <w:sz w:val="20"/>
          <w:szCs w:val="20"/>
        </w:rPr>
      </w:pPr>
    </w:p>
    <w:p w14:paraId="72AB4EF6" w14:textId="77777777"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The main duty of the SAO is to take reasonable steps to ensure the Group establishes and maintains appropriate tax accounting arrangements to enable the Group to fulfil its tax compliance obligations.</w:t>
      </w:r>
    </w:p>
    <w:p w14:paraId="310121AA" w14:textId="77777777" w:rsidR="004E4C52" w:rsidRPr="004E4C52" w:rsidRDefault="004E4C52" w:rsidP="007A0ECA">
      <w:pPr>
        <w:spacing w:after="0"/>
        <w:jc w:val="both"/>
        <w:rPr>
          <w:rFonts w:ascii="Arial" w:hAnsi="Arial" w:cs="Arial"/>
          <w:sz w:val="20"/>
          <w:szCs w:val="20"/>
        </w:rPr>
      </w:pPr>
    </w:p>
    <w:p w14:paraId="1375389F" w14:textId="77777777"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The Group maintains appropriate tax accounting arrangements by putting controls in place to reduce the risk of non-compliance or misstatement of the Group’s tax liabilities and to identify key tax risks.</w:t>
      </w:r>
    </w:p>
    <w:p w14:paraId="1309F8A4" w14:textId="77777777" w:rsidR="004E4C52" w:rsidRPr="004E4C52" w:rsidRDefault="004E4C52" w:rsidP="007A0ECA">
      <w:pPr>
        <w:spacing w:after="0"/>
        <w:jc w:val="both"/>
        <w:rPr>
          <w:rFonts w:ascii="Arial" w:hAnsi="Arial" w:cs="Arial"/>
          <w:sz w:val="20"/>
          <w:szCs w:val="20"/>
        </w:rPr>
      </w:pPr>
    </w:p>
    <w:p w14:paraId="00946CFF" w14:textId="44FE96BC" w:rsidR="004E4C52" w:rsidRPr="004E4C52" w:rsidRDefault="00060AF8" w:rsidP="007A0ECA">
      <w:pPr>
        <w:spacing w:after="0"/>
        <w:jc w:val="both"/>
        <w:rPr>
          <w:rFonts w:ascii="Arial" w:hAnsi="Arial" w:cs="Arial"/>
          <w:sz w:val="20"/>
          <w:szCs w:val="20"/>
        </w:rPr>
      </w:pPr>
      <w:r>
        <w:rPr>
          <w:rFonts w:ascii="Arial" w:hAnsi="Arial" w:cs="Arial"/>
          <w:sz w:val="20"/>
          <w:szCs w:val="20"/>
        </w:rPr>
        <w:t xml:space="preserve">The Group does this </w:t>
      </w:r>
      <w:r w:rsidR="004E4C52" w:rsidRPr="004E4C52">
        <w:rPr>
          <w:rFonts w:ascii="Arial" w:hAnsi="Arial" w:cs="Arial"/>
          <w:sz w:val="20"/>
          <w:szCs w:val="20"/>
        </w:rPr>
        <w:t xml:space="preserve">through: </w:t>
      </w:r>
    </w:p>
    <w:p w14:paraId="592615B4" w14:textId="77777777" w:rsidR="004E4C52" w:rsidRPr="004E4C52" w:rsidRDefault="004E4C52" w:rsidP="007A0ECA">
      <w:pPr>
        <w:spacing w:after="0"/>
        <w:jc w:val="both"/>
        <w:rPr>
          <w:rFonts w:ascii="Arial" w:hAnsi="Arial" w:cs="Arial"/>
          <w:sz w:val="20"/>
          <w:szCs w:val="20"/>
        </w:rPr>
      </w:pPr>
    </w:p>
    <w:p w14:paraId="251B7488" w14:textId="1294A508" w:rsidR="004E4C52" w:rsidRPr="004E4C52" w:rsidRDefault="004E4C52" w:rsidP="007A0ECA">
      <w:pPr>
        <w:pStyle w:val="ListParagraph"/>
        <w:numPr>
          <w:ilvl w:val="0"/>
          <w:numId w:val="2"/>
        </w:numPr>
        <w:spacing w:after="0"/>
        <w:jc w:val="both"/>
        <w:rPr>
          <w:rFonts w:ascii="Arial" w:hAnsi="Arial" w:cs="Arial"/>
          <w:sz w:val="20"/>
          <w:szCs w:val="20"/>
        </w:rPr>
      </w:pPr>
      <w:r w:rsidRPr="004E4C52">
        <w:rPr>
          <w:rFonts w:ascii="Arial" w:hAnsi="Arial" w:cs="Arial"/>
          <w:sz w:val="20"/>
          <w:szCs w:val="20"/>
        </w:rPr>
        <w:t xml:space="preserve">Regular communication with finance and other relevant staff to keep informed of any significant business developments; </w:t>
      </w:r>
    </w:p>
    <w:p w14:paraId="2952580E" w14:textId="77777777" w:rsidR="004E4C52" w:rsidRPr="004E4C52" w:rsidRDefault="004E4C52" w:rsidP="007A0ECA">
      <w:pPr>
        <w:pStyle w:val="ListParagraph"/>
        <w:numPr>
          <w:ilvl w:val="0"/>
          <w:numId w:val="2"/>
        </w:numPr>
        <w:spacing w:after="0"/>
        <w:jc w:val="both"/>
        <w:rPr>
          <w:rFonts w:ascii="Arial" w:hAnsi="Arial" w:cs="Arial"/>
          <w:sz w:val="20"/>
          <w:szCs w:val="20"/>
        </w:rPr>
      </w:pPr>
      <w:r w:rsidRPr="004E4C52">
        <w:rPr>
          <w:rFonts w:ascii="Arial" w:hAnsi="Arial" w:cs="Arial"/>
          <w:sz w:val="20"/>
          <w:szCs w:val="20"/>
        </w:rPr>
        <w:t xml:space="preserve">Involvement in all acquisitions including review of financial and tax due diligence reports; </w:t>
      </w:r>
    </w:p>
    <w:p w14:paraId="5708D1F9" w14:textId="77777777" w:rsidR="004E4C52" w:rsidRPr="004E4C52" w:rsidRDefault="004E4C52" w:rsidP="007A0ECA">
      <w:pPr>
        <w:pStyle w:val="ListParagraph"/>
        <w:numPr>
          <w:ilvl w:val="0"/>
          <w:numId w:val="2"/>
        </w:numPr>
        <w:spacing w:after="0"/>
        <w:jc w:val="both"/>
        <w:rPr>
          <w:rFonts w:ascii="Arial" w:hAnsi="Arial" w:cs="Arial"/>
          <w:sz w:val="20"/>
          <w:szCs w:val="20"/>
        </w:rPr>
      </w:pPr>
      <w:r w:rsidRPr="004E4C52">
        <w:rPr>
          <w:rFonts w:ascii="Arial" w:hAnsi="Arial" w:cs="Arial"/>
          <w:sz w:val="20"/>
          <w:szCs w:val="20"/>
        </w:rPr>
        <w:t xml:space="preserve">Monitoring and assessing the impact of changes in tax legislation; </w:t>
      </w:r>
    </w:p>
    <w:p w14:paraId="086C22D7" w14:textId="77777777" w:rsidR="004E4C52" w:rsidRPr="004E4C52" w:rsidRDefault="004E4C52" w:rsidP="007A0ECA">
      <w:pPr>
        <w:pStyle w:val="ListParagraph"/>
        <w:numPr>
          <w:ilvl w:val="0"/>
          <w:numId w:val="2"/>
        </w:numPr>
        <w:spacing w:after="0"/>
        <w:jc w:val="both"/>
        <w:rPr>
          <w:rFonts w:ascii="Arial" w:hAnsi="Arial" w:cs="Arial"/>
          <w:sz w:val="20"/>
          <w:szCs w:val="20"/>
        </w:rPr>
      </w:pPr>
      <w:r w:rsidRPr="004E4C52">
        <w:rPr>
          <w:rFonts w:ascii="Arial" w:hAnsi="Arial" w:cs="Arial"/>
          <w:sz w:val="20"/>
          <w:szCs w:val="20"/>
        </w:rPr>
        <w:t xml:space="preserve">Consultation with reputable external tax advisors when necessary. </w:t>
      </w:r>
    </w:p>
    <w:p w14:paraId="67B49696" w14:textId="77777777" w:rsidR="000E7DF5" w:rsidRDefault="000E7DF5" w:rsidP="007A0ECA">
      <w:pPr>
        <w:spacing w:after="0"/>
        <w:jc w:val="both"/>
        <w:rPr>
          <w:rFonts w:ascii="Arial" w:hAnsi="Arial" w:cs="Arial"/>
          <w:b/>
          <w:bCs/>
          <w:sz w:val="20"/>
          <w:szCs w:val="20"/>
          <w:u w:val="single"/>
        </w:rPr>
      </w:pPr>
    </w:p>
    <w:p w14:paraId="32094F50" w14:textId="2C26CDDE" w:rsidR="004E4C52" w:rsidRDefault="004E4C52" w:rsidP="007A0ECA">
      <w:pPr>
        <w:spacing w:after="0"/>
        <w:jc w:val="both"/>
        <w:rPr>
          <w:rFonts w:ascii="Arial" w:hAnsi="Arial" w:cs="Arial"/>
          <w:b/>
          <w:bCs/>
          <w:sz w:val="20"/>
          <w:szCs w:val="20"/>
          <w:u w:val="single"/>
        </w:rPr>
      </w:pPr>
      <w:r w:rsidRPr="004E4C52">
        <w:rPr>
          <w:rFonts w:ascii="Arial" w:hAnsi="Arial" w:cs="Arial"/>
          <w:b/>
          <w:bCs/>
          <w:sz w:val="20"/>
          <w:szCs w:val="20"/>
          <w:u w:val="single"/>
        </w:rPr>
        <w:t>Attitude to tax planning and level of tax risk</w:t>
      </w:r>
    </w:p>
    <w:p w14:paraId="626CD054" w14:textId="77777777" w:rsidR="000E7DF5" w:rsidRPr="004E4C52" w:rsidRDefault="000E7DF5" w:rsidP="007A0ECA">
      <w:pPr>
        <w:spacing w:after="0"/>
        <w:jc w:val="both"/>
        <w:rPr>
          <w:rFonts w:ascii="Arial" w:hAnsi="Arial" w:cs="Arial"/>
          <w:b/>
          <w:bCs/>
          <w:sz w:val="20"/>
          <w:szCs w:val="20"/>
          <w:u w:val="single"/>
        </w:rPr>
      </w:pPr>
    </w:p>
    <w:p w14:paraId="2A3476B9" w14:textId="77777777"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The Group believes it is important to plan its business operations so that it can comply with all tax obligations and believes it is important to consider the tax consequences of significant transactions before they are carried out.</w:t>
      </w:r>
    </w:p>
    <w:p w14:paraId="39BB55B3" w14:textId="77777777" w:rsidR="004E4C52" w:rsidRPr="004E4C52" w:rsidRDefault="004E4C52" w:rsidP="007A0ECA">
      <w:pPr>
        <w:spacing w:after="0"/>
        <w:jc w:val="both"/>
        <w:rPr>
          <w:rFonts w:ascii="Arial" w:hAnsi="Arial" w:cs="Arial"/>
          <w:sz w:val="20"/>
          <w:szCs w:val="20"/>
        </w:rPr>
      </w:pPr>
    </w:p>
    <w:p w14:paraId="62D37A3C" w14:textId="335759B3"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lastRenderedPageBreak/>
        <w:t>External tax advisors are consulted on the tax consequences of certain transactions including acquisitions and restructuring.</w:t>
      </w:r>
      <w:r w:rsidR="00FC5E3A">
        <w:rPr>
          <w:rFonts w:ascii="Arial" w:hAnsi="Arial" w:cs="Arial"/>
          <w:sz w:val="20"/>
          <w:szCs w:val="20"/>
        </w:rPr>
        <w:t xml:space="preserve"> </w:t>
      </w:r>
      <w:r w:rsidRPr="004E4C52">
        <w:rPr>
          <w:rFonts w:ascii="Arial" w:hAnsi="Arial" w:cs="Arial"/>
          <w:sz w:val="20"/>
          <w:szCs w:val="20"/>
        </w:rPr>
        <w:t xml:space="preserve"> They advise on tax planning and risks and offer expertise on recent or pending changes in relevant tax legislation to ensure compliance with all relevant laws, rules, regulations, and reporting and disclosure requirements.</w:t>
      </w:r>
    </w:p>
    <w:p w14:paraId="66053134" w14:textId="77777777" w:rsidR="004E4C52" w:rsidRPr="004E4C52" w:rsidRDefault="004E4C52" w:rsidP="007A0ECA">
      <w:pPr>
        <w:spacing w:after="0"/>
        <w:jc w:val="both"/>
        <w:rPr>
          <w:rFonts w:ascii="Arial" w:hAnsi="Arial" w:cs="Arial"/>
          <w:sz w:val="20"/>
          <w:szCs w:val="20"/>
        </w:rPr>
      </w:pPr>
    </w:p>
    <w:p w14:paraId="703D76D2" w14:textId="7F6C397B"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 xml:space="preserve">The Group’s attitude to tax planning is to ensure it complies with all legal requirements but noting that there is always a degree of taxation risk. </w:t>
      </w:r>
      <w:r w:rsidR="00FC5E3A">
        <w:rPr>
          <w:rFonts w:ascii="Arial" w:hAnsi="Arial" w:cs="Arial"/>
          <w:sz w:val="20"/>
          <w:szCs w:val="20"/>
        </w:rPr>
        <w:t xml:space="preserve"> </w:t>
      </w:r>
      <w:r w:rsidRPr="004E4C52">
        <w:rPr>
          <w:rFonts w:ascii="Arial" w:hAnsi="Arial" w:cs="Arial"/>
          <w:sz w:val="20"/>
          <w:szCs w:val="20"/>
        </w:rPr>
        <w:t xml:space="preserve">This arises due to factors including complex and changing tax legislation, the scope for disagreement over the interpretation of laws and the variety and volume of different taxes that affect the Group’s activities. </w:t>
      </w:r>
      <w:r w:rsidR="00FC5E3A">
        <w:rPr>
          <w:rFonts w:ascii="Arial" w:hAnsi="Arial" w:cs="Arial"/>
          <w:sz w:val="20"/>
          <w:szCs w:val="20"/>
        </w:rPr>
        <w:t xml:space="preserve"> </w:t>
      </w:r>
      <w:r w:rsidRPr="004E4C52">
        <w:rPr>
          <w:rFonts w:ascii="Arial" w:hAnsi="Arial" w:cs="Arial"/>
          <w:sz w:val="20"/>
          <w:szCs w:val="20"/>
        </w:rPr>
        <w:t>These risks are managed as noted above and where there is uncertainty or complexity, external advice is sought.</w:t>
      </w:r>
    </w:p>
    <w:p w14:paraId="01045BD1" w14:textId="77777777" w:rsidR="004E4C52" w:rsidRPr="004E4C52" w:rsidRDefault="004E4C52" w:rsidP="007A0ECA">
      <w:pPr>
        <w:spacing w:after="0"/>
        <w:jc w:val="both"/>
        <w:rPr>
          <w:rFonts w:ascii="Arial" w:hAnsi="Arial" w:cs="Arial"/>
          <w:sz w:val="20"/>
          <w:szCs w:val="20"/>
        </w:rPr>
      </w:pPr>
    </w:p>
    <w:p w14:paraId="1F43086A" w14:textId="77777777" w:rsidR="004E4C52" w:rsidRDefault="004E4C52" w:rsidP="007A0ECA">
      <w:pPr>
        <w:spacing w:after="0"/>
        <w:jc w:val="both"/>
        <w:rPr>
          <w:rFonts w:ascii="Arial" w:hAnsi="Arial" w:cs="Arial"/>
          <w:b/>
          <w:bCs/>
          <w:sz w:val="20"/>
          <w:szCs w:val="20"/>
          <w:u w:val="single"/>
        </w:rPr>
      </w:pPr>
      <w:r w:rsidRPr="00060AF8">
        <w:rPr>
          <w:rFonts w:ascii="Arial" w:hAnsi="Arial" w:cs="Arial"/>
          <w:b/>
          <w:bCs/>
          <w:sz w:val="20"/>
          <w:szCs w:val="20"/>
          <w:u w:val="single"/>
        </w:rPr>
        <w:t>Relationships with tax authorities</w:t>
      </w:r>
    </w:p>
    <w:p w14:paraId="0A4D2E53" w14:textId="77777777" w:rsidR="000E7DF5" w:rsidRPr="00060AF8" w:rsidRDefault="000E7DF5" w:rsidP="007A0ECA">
      <w:pPr>
        <w:spacing w:after="0"/>
        <w:jc w:val="both"/>
        <w:rPr>
          <w:rFonts w:ascii="Arial" w:hAnsi="Arial" w:cs="Arial"/>
          <w:b/>
          <w:bCs/>
          <w:sz w:val="20"/>
          <w:szCs w:val="20"/>
          <w:u w:val="single"/>
        </w:rPr>
      </w:pPr>
    </w:p>
    <w:p w14:paraId="2A53A891" w14:textId="4D55A88D" w:rsidR="00060AF8" w:rsidRDefault="004E4C52" w:rsidP="007A0ECA">
      <w:pPr>
        <w:spacing w:after="0"/>
        <w:jc w:val="both"/>
        <w:rPr>
          <w:rFonts w:ascii="Arial" w:hAnsi="Arial" w:cs="Arial"/>
          <w:sz w:val="20"/>
          <w:szCs w:val="20"/>
        </w:rPr>
      </w:pPr>
      <w:r w:rsidRPr="004E4C52">
        <w:rPr>
          <w:rFonts w:ascii="Arial" w:hAnsi="Arial" w:cs="Arial"/>
          <w:sz w:val="20"/>
          <w:szCs w:val="20"/>
        </w:rPr>
        <w:t>The Group is in regular contact with the tax authorities, both directly and through</w:t>
      </w:r>
      <w:r w:rsidR="00060AF8">
        <w:rPr>
          <w:rFonts w:ascii="Arial" w:hAnsi="Arial" w:cs="Arial"/>
          <w:sz w:val="20"/>
          <w:szCs w:val="20"/>
        </w:rPr>
        <w:t xml:space="preserve"> its</w:t>
      </w:r>
      <w:r w:rsidRPr="004E4C52">
        <w:rPr>
          <w:rFonts w:ascii="Arial" w:hAnsi="Arial" w:cs="Arial"/>
          <w:sz w:val="20"/>
          <w:szCs w:val="20"/>
        </w:rPr>
        <w:t xml:space="preserve"> external advisors. </w:t>
      </w:r>
    </w:p>
    <w:p w14:paraId="6E0C2BE3" w14:textId="77777777" w:rsidR="00060AF8" w:rsidRDefault="00060AF8" w:rsidP="007A0ECA">
      <w:pPr>
        <w:spacing w:after="0"/>
        <w:jc w:val="both"/>
        <w:rPr>
          <w:rFonts w:ascii="Arial" w:hAnsi="Arial" w:cs="Arial"/>
          <w:sz w:val="20"/>
          <w:szCs w:val="20"/>
        </w:rPr>
      </w:pPr>
    </w:p>
    <w:p w14:paraId="69A699C8" w14:textId="761EC7B6"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We seek to maintain an open and transparent approach to dealing with HM</w:t>
      </w:r>
      <w:r w:rsidR="00060AF8">
        <w:rPr>
          <w:rFonts w:ascii="Arial" w:hAnsi="Arial" w:cs="Arial"/>
          <w:sz w:val="20"/>
          <w:szCs w:val="20"/>
        </w:rPr>
        <w:t xml:space="preserve"> </w:t>
      </w:r>
      <w:r w:rsidRPr="004E4C52">
        <w:rPr>
          <w:rFonts w:ascii="Arial" w:hAnsi="Arial" w:cs="Arial"/>
          <w:sz w:val="20"/>
          <w:szCs w:val="20"/>
        </w:rPr>
        <w:t>R</w:t>
      </w:r>
      <w:r w:rsidR="00060AF8">
        <w:rPr>
          <w:rFonts w:ascii="Arial" w:hAnsi="Arial" w:cs="Arial"/>
          <w:sz w:val="20"/>
          <w:szCs w:val="20"/>
        </w:rPr>
        <w:t xml:space="preserve">evenue &amp; </w:t>
      </w:r>
      <w:r w:rsidRPr="004E4C52">
        <w:rPr>
          <w:rFonts w:ascii="Arial" w:hAnsi="Arial" w:cs="Arial"/>
          <w:sz w:val="20"/>
          <w:szCs w:val="20"/>
        </w:rPr>
        <w:t>C</w:t>
      </w:r>
      <w:r w:rsidR="00060AF8">
        <w:rPr>
          <w:rFonts w:ascii="Arial" w:hAnsi="Arial" w:cs="Arial"/>
          <w:sz w:val="20"/>
          <w:szCs w:val="20"/>
        </w:rPr>
        <w:t>us</w:t>
      </w:r>
      <w:r w:rsidR="00BE1EB5">
        <w:rPr>
          <w:rFonts w:ascii="Arial" w:hAnsi="Arial" w:cs="Arial"/>
          <w:sz w:val="20"/>
          <w:szCs w:val="20"/>
        </w:rPr>
        <w:t>toms</w:t>
      </w:r>
      <w:r w:rsidRPr="004E4C52">
        <w:rPr>
          <w:rFonts w:ascii="Arial" w:hAnsi="Arial" w:cs="Arial"/>
          <w:sz w:val="20"/>
          <w:szCs w:val="20"/>
        </w:rPr>
        <w:t xml:space="preserve"> </w:t>
      </w:r>
      <w:r w:rsidR="005421E1">
        <w:rPr>
          <w:rFonts w:ascii="Arial" w:hAnsi="Arial" w:cs="Arial"/>
          <w:sz w:val="20"/>
          <w:szCs w:val="20"/>
        </w:rPr>
        <w:t xml:space="preserve">(“HMRC”) </w:t>
      </w:r>
      <w:r w:rsidRPr="004E4C52">
        <w:rPr>
          <w:rFonts w:ascii="Arial" w:hAnsi="Arial" w:cs="Arial"/>
          <w:sz w:val="20"/>
          <w:szCs w:val="20"/>
        </w:rPr>
        <w:t>and other tax authorities and commit to:</w:t>
      </w:r>
    </w:p>
    <w:p w14:paraId="376679BE" w14:textId="77777777" w:rsidR="004E4C52" w:rsidRPr="004E4C52" w:rsidRDefault="004E4C52" w:rsidP="007A0ECA">
      <w:pPr>
        <w:spacing w:after="0"/>
        <w:jc w:val="both"/>
        <w:rPr>
          <w:rFonts w:ascii="Arial" w:hAnsi="Arial" w:cs="Arial"/>
          <w:sz w:val="20"/>
          <w:szCs w:val="20"/>
        </w:rPr>
      </w:pPr>
    </w:p>
    <w:p w14:paraId="0CFF67A6" w14:textId="77777777" w:rsidR="005421E1" w:rsidRDefault="004E4C52" w:rsidP="007A0ECA">
      <w:pPr>
        <w:pStyle w:val="ListParagraph"/>
        <w:numPr>
          <w:ilvl w:val="0"/>
          <w:numId w:val="4"/>
        </w:numPr>
        <w:spacing w:after="0"/>
        <w:jc w:val="both"/>
        <w:rPr>
          <w:rFonts w:ascii="Arial" w:hAnsi="Arial" w:cs="Arial"/>
          <w:sz w:val="20"/>
          <w:szCs w:val="20"/>
        </w:rPr>
      </w:pPr>
      <w:r w:rsidRPr="00060AF8">
        <w:rPr>
          <w:rFonts w:ascii="Arial" w:hAnsi="Arial" w:cs="Arial"/>
          <w:sz w:val="20"/>
          <w:szCs w:val="20"/>
        </w:rPr>
        <w:t>A proactive, collaborative and professional relationship with the tax authorities;</w:t>
      </w:r>
    </w:p>
    <w:p w14:paraId="1EBBE815" w14:textId="77777777" w:rsidR="005421E1" w:rsidRDefault="005421E1" w:rsidP="007A0ECA">
      <w:pPr>
        <w:pStyle w:val="ListParagraph"/>
        <w:numPr>
          <w:ilvl w:val="0"/>
          <w:numId w:val="4"/>
        </w:numPr>
        <w:spacing w:after="0"/>
        <w:jc w:val="both"/>
        <w:rPr>
          <w:rFonts w:ascii="Arial" w:hAnsi="Arial" w:cs="Arial"/>
          <w:sz w:val="20"/>
          <w:szCs w:val="20"/>
        </w:rPr>
      </w:pPr>
      <w:r w:rsidRPr="005421E1">
        <w:rPr>
          <w:rFonts w:ascii="Arial" w:hAnsi="Arial" w:cs="Arial"/>
          <w:sz w:val="20"/>
          <w:szCs w:val="20"/>
        </w:rPr>
        <w:t>Making fair, accurate and timely disclosure in correspondence and returns, and responding to queries and information requests in a timely fashion.</w:t>
      </w:r>
    </w:p>
    <w:p w14:paraId="14DBC550" w14:textId="77777777" w:rsidR="005421E1" w:rsidRDefault="005421E1" w:rsidP="007A0ECA">
      <w:pPr>
        <w:pStyle w:val="ListParagraph"/>
        <w:numPr>
          <w:ilvl w:val="0"/>
          <w:numId w:val="4"/>
        </w:numPr>
        <w:spacing w:after="0"/>
        <w:jc w:val="both"/>
        <w:rPr>
          <w:rFonts w:ascii="Arial" w:hAnsi="Arial" w:cs="Arial"/>
          <w:sz w:val="20"/>
          <w:szCs w:val="20"/>
        </w:rPr>
      </w:pPr>
      <w:r w:rsidRPr="005421E1">
        <w:rPr>
          <w:rFonts w:ascii="Arial" w:hAnsi="Arial" w:cs="Arial"/>
          <w:sz w:val="20"/>
          <w:szCs w:val="20"/>
        </w:rPr>
        <w:t>Seeking to resolve issues with HMRC in a timely manner, and, where disagreements arise, working with HMRC to resolve issues by agreement where possible.</w:t>
      </w:r>
    </w:p>
    <w:p w14:paraId="790DFB15" w14:textId="2138A341" w:rsidR="004E4C52" w:rsidRDefault="005421E1" w:rsidP="007A0ECA">
      <w:pPr>
        <w:pStyle w:val="ListParagraph"/>
        <w:numPr>
          <w:ilvl w:val="0"/>
          <w:numId w:val="4"/>
        </w:numPr>
        <w:spacing w:after="0"/>
        <w:jc w:val="both"/>
        <w:rPr>
          <w:rFonts w:ascii="Arial" w:hAnsi="Arial" w:cs="Arial"/>
          <w:sz w:val="20"/>
          <w:szCs w:val="20"/>
        </w:rPr>
      </w:pPr>
      <w:r w:rsidRPr="005421E1">
        <w:rPr>
          <w:rFonts w:ascii="Arial" w:hAnsi="Arial" w:cs="Arial"/>
          <w:sz w:val="20"/>
          <w:szCs w:val="20"/>
        </w:rPr>
        <w:t>Employing the services of professional tax advisers to act as our agents, and, in a number of cases, such advisers liaise with HMRC on our behalf.</w:t>
      </w:r>
    </w:p>
    <w:p w14:paraId="3CD2D34B" w14:textId="77777777" w:rsidR="005421E1" w:rsidRPr="005421E1" w:rsidRDefault="005421E1" w:rsidP="007A0ECA">
      <w:pPr>
        <w:pStyle w:val="ListParagraph"/>
        <w:spacing w:after="0"/>
        <w:jc w:val="both"/>
        <w:rPr>
          <w:rFonts w:ascii="Arial" w:hAnsi="Arial" w:cs="Arial"/>
          <w:sz w:val="20"/>
          <w:szCs w:val="20"/>
        </w:rPr>
      </w:pPr>
    </w:p>
    <w:p w14:paraId="186C758E" w14:textId="77777777" w:rsidR="00D42F91" w:rsidRDefault="00D42F91" w:rsidP="007A0ECA">
      <w:pPr>
        <w:spacing w:after="0"/>
        <w:jc w:val="both"/>
        <w:rPr>
          <w:rFonts w:ascii="Arial" w:eastAsia="Times New Roman" w:hAnsi="Arial" w:cs="Arial"/>
          <w:b/>
          <w:bCs/>
          <w:color w:val="0B0C0C"/>
          <w:kern w:val="0"/>
          <w:sz w:val="20"/>
          <w:szCs w:val="20"/>
          <w:u w:val="single"/>
          <w:lang w:eastAsia="en-GB"/>
          <w14:ligatures w14:val="none"/>
        </w:rPr>
      </w:pPr>
      <w:r w:rsidRPr="00D42F91">
        <w:rPr>
          <w:rFonts w:ascii="Arial" w:eastAsia="Times New Roman" w:hAnsi="Arial" w:cs="Arial"/>
          <w:b/>
          <w:bCs/>
          <w:color w:val="0B0C0C"/>
          <w:kern w:val="0"/>
          <w:sz w:val="20"/>
          <w:szCs w:val="20"/>
          <w:u w:val="single"/>
          <w:lang w:eastAsia="en-GB"/>
          <w14:ligatures w14:val="none"/>
        </w:rPr>
        <w:t>Appendix</w:t>
      </w:r>
    </w:p>
    <w:p w14:paraId="1283619A" w14:textId="77777777" w:rsidR="000E7DF5" w:rsidRPr="00D42F91" w:rsidRDefault="000E7DF5" w:rsidP="007A0ECA">
      <w:pPr>
        <w:spacing w:after="0"/>
        <w:jc w:val="both"/>
        <w:rPr>
          <w:rFonts w:ascii="Arial" w:hAnsi="Arial" w:cs="Arial"/>
          <w:b/>
          <w:bCs/>
          <w:sz w:val="18"/>
          <w:szCs w:val="18"/>
          <w:u w:val="single"/>
        </w:rPr>
      </w:pPr>
    </w:p>
    <w:p w14:paraId="13E68488" w14:textId="77777777" w:rsidR="00D42F91" w:rsidRPr="00D42F91" w:rsidRDefault="00D42F91" w:rsidP="007A0ECA">
      <w:pPr>
        <w:spacing w:after="0"/>
        <w:jc w:val="both"/>
        <w:rPr>
          <w:rFonts w:ascii="Arial" w:eastAsia="Times New Roman" w:hAnsi="Arial" w:cs="Arial"/>
          <w:color w:val="0B0C0C"/>
          <w:kern w:val="0"/>
          <w:sz w:val="20"/>
          <w:szCs w:val="20"/>
          <w:lang w:eastAsia="en-GB"/>
          <w14:ligatures w14:val="none"/>
        </w:rPr>
      </w:pPr>
      <w:r w:rsidRPr="00D42F91">
        <w:rPr>
          <w:rFonts w:ascii="Arial" w:eastAsia="Times New Roman" w:hAnsi="Arial" w:cs="Arial"/>
          <w:color w:val="0B0C0C"/>
          <w:kern w:val="0"/>
          <w:sz w:val="20"/>
          <w:szCs w:val="20"/>
          <w:lang w:eastAsia="en-GB"/>
          <w14:ligatures w14:val="none"/>
        </w:rPr>
        <w:t>List of The Lawton Tube Group companies covered by the Tax Strategy:</w:t>
      </w:r>
    </w:p>
    <w:p w14:paraId="0D7714E0" w14:textId="77777777" w:rsidR="00D42F91" w:rsidRPr="00D42F91" w:rsidRDefault="00D42F91" w:rsidP="007A0ECA">
      <w:pPr>
        <w:pStyle w:val="ListParagraph"/>
        <w:numPr>
          <w:ilvl w:val="0"/>
          <w:numId w:val="5"/>
        </w:numPr>
        <w:spacing w:after="0"/>
        <w:jc w:val="both"/>
        <w:rPr>
          <w:rFonts w:ascii="Arial" w:eastAsia="Times New Roman" w:hAnsi="Arial" w:cs="Arial"/>
          <w:color w:val="0B0C0C"/>
          <w:kern w:val="0"/>
          <w:sz w:val="20"/>
          <w:szCs w:val="20"/>
          <w:lang w:eastAsia="en-GB"/>
          <w14:ligatures w14:val="none"/>
        </w:rPr>
      </w:pPr>
      <w:r w:rsidRPr="00D42F91">
        <w:rPr>
          <w:rFonts w:ascii="Arial" w:eastAsia="Times New Roman" w:hAnsi="Arial" w:cs="Arial"/>
          <w:color w:val="0B0C0C"/>
          <w:kern w:val="0"/>
          <w:sz w:val="20"/>
          <w:szCs w:val="20"/>
          <w:lang w:eastAsia="en-GB"/>
          <w14:ligatures w14:val="none"/>
        </w:rPr>
        <w:t>The Lawton Tube Company Limited</w:t>
      </w:r>
    </w:p>
    <w:p w14:paraId="2C688315" w14:textId="77777777" w:rsidR="00D42F91" w:rsidRDefault="00D42F91" w:rsidP="007A0ECA">
      <w:pPr>
        <w:pStyle w:val="ListParagraph"/>
        <w:numPr>
          <w:ilvl w:val="0"/>
          <w:numId w:val="5"/>
        </w:numPr>
        <w:spacing w:after="0"/>
        <w:jc w:val="both"/>
        <w:rPr>
          <w:rFonts w:ascii="Arial" w:eastAsia="Times New Roman" w:hAnsi="Arial" w:cs="Arial"/>
          <w:color w:val="0B0C0C"/>
          <w:kern w:val="0"/>
          <w:sz w:val="20"/>
          <w:szCs w:val="20"/>
          <w:lang w:eastAsia="en-GB"/>
          <w14:ligatures w14:val="none"/>
        </w:rPr>
      </w:pPr>
      <w:r w:rsidRPr="00D42F91">
        <w:rPr>
          <w:rFonts w:ascii="Arial" w:eastAsia="Times New Roman" w:hAnsi="Arial" w:cs="Arial"/>
          <w:color w:val="0B0C0C"/>
          <w:kern w:val="0"/>
          <w:sz w:val="20"/>
          <w:szCs w:val="20"/>
          <w:lang w:eastAsia="en-GB"/>
          <w14:ligatures w14:val="none"/>
        </w:rPr>
        <w:t>Wardtec Limited</w:t>
      </w:r>
    </w:p>
    <w:p w14:paraId="0723C957" w14:textId="77777777" w:rsidR="0037484B" w:rsidRDefault="0037484B" w:rsidP="0037484B">
      <w:pPr>
        <w:pStyle w:val="ListParagraph"/>
        <w:spacing w:after="0"/>
        <w:jc w:val="both"/>
        <w:rPr>
          <w:rFonts w:ascii="Arial" w:eastAsia="Times New Roman" w:hAnsi="Arial" w:cs="Arial"/>
          <w:color w:val="0B0C0C"/>
          <w:kern w:val="0"/>
          <w:sz w:val="20"/>
          <w:szCs w:val="20"/>
          <w:lang w:eastAsia="en-GB"/>
          <w14:ligatures w14:val="none"/>
        </w:rPr>
      </w:pPr>
    </w:p>
    <w:p w14:paraId="78A66D6D" w14:textId="7616C730" w:rsidR="0037484B" w:rsidRDefault="0037484B" w:rsidP="0037484B">
      <w:pPr>
        <w:spacing w:after="0"/>
        <w:jc w:val="both"/>
        <w:rPr>
          <w:rFonts w:ascii="Arial" w:eastAsia="Times New Roman" w:hAnsi="Arial" w:cs="Arial"/>
          <w:color w:val="0B0C0C"/>
          <w:kern w:val="0"/>
          <w:sz w:val="20"/>
          <w:szCs w:val="20"/>
          <w:lang w:eastAsia="en-GB"/>
          <w14:ligatures w14:val="none"/>
        </w:rPr>
      </w:pPr>
      <w:r>
        <w:rPr>
          <w:rFonts w:ascii="Arial" w:eastAsia="Times New Roman" w:hAnsi="Arial" w:cs="Arial"/>
          <w:color w:val="0B0C0C"/>
          <w:kern w:val="0"/>
          <w:sz w:val="20"/>
          <w:szCs w:val="20"/>
          <w:lang w:eastAsia="en-GB"/>
          <w14:ligatures w14:val="none"/>
        </w:rPr>
        <w:t>Note:</w:t>
      </w:r>
    </w:p>
    <w:p w14:paraId="73AB0498" w14:textId="1BA4CFA3" w:rsidR="0037484B" w:rsidRDefault="0037484B" w:rsidP="0037484B">
      <w:pPr>
        <w:spacing w:after="0"/>
        <w:jc w:val="both"/>
        <w:rPr>
          <w:rFonts w:ascii="Arial" w:eastAsia="Times New Roman" w:hAnsi="Arial" w:cs="Arial"/>
          <w:color w:val="0B0C0C"/>
          <w:kern w:val="0"/>
          <w:sz w:val="20"/>
          <w:szCs w:val="20"/>
          <w:lang w:eastAsia="en-GB"/>
          <w14:ligatures w14:val="none"/>
        </w:rPr>
      </w:pPr>
      <w:r>
        <w:rPr>
          <w:rFonts w:ascii="Arial" w:eastAsia="Times New Roman" w:hAnsi="Arial" w:cs="Arial"/>
          <w:color w:val="0B0C0C"/>
          <w:kern w:val="0"/>
          <w:sz w:val="20"/>
          <w:szCs w:val="20"/>
          <w:lang w:eastAsia="en-GB"/>
          <w14:ligatures w14:val="none"/>
        </w:rPr>
        <w:t xml:space="preserve">The assets &amp; Liabilities of Wardtec Limited </w:t>
      </w:r>
      <w:r w:rsidR="00490118">
        <w:rPr>
          <w:rFonts w:ascii="Arial" w:eastAsia="Times New Roman" w:hAnsi="Arial" w:cs="Arial"/>
          <w:color w:val="0B0C0C"/>
          <w:kern w:val="0"/>
          <w:sz w:val="20"/>
          <w:szCs w:val="20"/>
          <w:lang w:eastAsia="en-GB"/>
          <w14:ligatures w14:val="none"/>
        </w:rPr>
        <w:t>are</w:t>
      </w:r>
      <w:r>
        <w:rPr>
          <w:rFonts w:ascii="Arial" w:eastAsia="Times New Roman" w:hAnsi="Arial" w:cs="Arial"/>
          <w:color w:val="0B0C0C"/>
          <w:kern w:val="0"/>
          <w:sz w:val="20"/>
          <w:szCs w:val="20"/>
          <w:lang w:eastAsia="en-GB"/>
          <w14:ligatures w14:val="none"/>
        </w:rPr>
        <w:t xml:space="preserve"> to be hived up into The Lawton Tube Company Limited at the close of business on 30 June 2025. As from 1 July 2025 the trade </w:t>
      </w:r>
      <w:r w:rsidR="00490118">
        <w:rPr>
          <w:rFonts w:ascii="Arial" w:eastAsia="Times New Roman" w:hAnsi="Arial" w:cs="Arial"/>
          <w:color w:val="0B0C0C"/>
          <w:kern w:val="0"/>
          <w:sz w:val="20"/>
          <w:szCs w:val="20"/>
          <w:lang w:eastAsia="en-GB"/>
          <w14:ligatures w14:val="none"/>
        </w:rPr>
        <w:t xml:space="preserve">of Wardtec Limited </w:t>
      </w:r>
      <w:r>
        <w:rPr>
          <w:rFonts w:ascii="Arial" w:eastAsia="Times New Roman" w:hAnsi="Arial" w:cs="Arial"/>
          <w:color w:val="0B0C0C"/>
          <w:kern w:val="0"/>
          <w:sz w:val="20"/>
          <w:szCs w:val="20"/>
          <w:lang w:eastAsia="en-GB"/>
          <w14:ligatures w14:val="none"/>
        </w:rPr>
        <w:t>will be transferred to The Lawton Tube Company Limited and Wardtec Limited will become</w:t>
      </w:r>
      <w:r w:rsidR="00490118">
        <w:rPr>
          <w:rFonts w:ascii="Arial" w:eastAsia="Times New Roman" w:hAnsi="Arial" w:cs="Arial"/>
          <w:color w:val="0B0C0C"/>
          <w:kern w:val="0"/>
          <w:sz w:val="20"/>
          <w:szCs w:val="20"/>
          <w:lang w:eastAsia="en-GB"/>
          <w14:ligatures w14:val="none"/>
        </w:rPr>
        <w:t xml:space="preserve">, in effect, </w:t>
      </w:r>
      <w:r>
        <w:rPr>
          <w:rFonts w:ascii="Arial" w:eastAsia="Times New Roman" w:hAnsi="Arial" w:cs="Arial"/>
          <w:color w:val="0B0C0C"/>
          <w:kern w:val="0"/>
          <w:sz w:val="20"/>
          <w:szCs w:val="20"/>
          <w:lang w:eastAsia="en-GB"/>
          <w14:ligatures w14:val="none"/>
        </w:rPr>
        <w:t xml:space="preserve">a de facto </w:t>
      </w:r>
      <w:r w:rsidR="00490118">
        <w:rPr>
          <w:rFonts w:ascii="Arial" w:eastAsia="Times New Roman" w:hAnsi="Arial" w:cs="Arial"/>
          <w:color w:val="0B0C0C"/>
          <w:kern w:val="0"/>
          <w:sz w:val="20"/>
          <w:szCs w:val="20"/>
          <w:lang w:eastAsia="en-GB"/>
          <w14:ligatures w14:val="none"/>
        </w:rPr>
        <w:t>dormant Company.</w:t>
      </w:r>
    </w:p>
    <w:p w14:paraId="00022E92" w14:textId="7969343B" w:rsidR="0037484B" w:rsidRPr="0037484B" w:rsidRDefault="0037484B" w:rsidP="0037484B">
      <w:pPr>
        <w:spacing w:after="0"/>
        <w:jc w:val="both"/>
        <w:rPr>
          <w:rFonts w:ascii="Arial" w:eastAsia="Times New Roman" w:hAnsi="Arial" w:cs="Arial"/>
          <w:color w:val="0B0C0C"/>
          <w:kern w:val="0"/>
          <w:sz w:val="20"/>
          <w:szCs w:val="20"/>
          <w:lang w:eastAsia="en-GB"/>
          <w14:ligatures w14:val="none"/>
        </w:rPr>
      </w:pPr>
    </w:p>
    <w:p w14:paraId="7AF96F5D" w14:textId="77777777" w:rsidR="00D42F91" w:rsidRDefault="00D42F91" w:rsidP="007A0ECA">
      <w:pPr>
        <w:spacing w:after="0"/>
        <w:jc w:val="both"/>
        <w:rPr>
          <w:rFonts w:ascii="Arial" w:hAnsi="Arial" w:cs="Arial"/>
          <w:sz w:val="20"/>
          <w:szCs w:val="20"/>
        </w:rPr>
      </w:pPr>
    </w:p>
    <w:p w14:paraId="3598C8B4" w14:textId="7CDF8CDE"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 xml:space="preserve">Published by </w:t>
      </w:r>
      <w:r w:rsidR="00060AF8">
        <w:rPr>
          <w:rFonts w:ascii="Arial" w:hAnsi="Arial" w:cs="Arial"/>
          <w:sz w:val="20"/>
          <w:szCs w:val="20"/>
        </w:rPr>
        <w:t xml:space="preserve">The Lawton Tube Company </w:t>
      </w:r>
      <w:r w:rsidRPr="004E4C52">
        <w:rPr>
          <w:rFonts w:ascii="Arial" w:hAnsi="Arial" w:cs="Arial"/>
          <w:sz w:val="20"/>
          <w:szCs w:val="20"/>
        </w:rPr>
        <w:t xml:space="preserve">Limited on behalf of </w:t>
      </w:r>
      <w:r w:rsidR="00060AF8" w:rsidRPr="00B64377">
        <w:rPr>
          <w:rFonts w:ascii="Arial" w:hAnsi="Arial" w:cs="Arial"/>
          <w:sz w:val="20"/>
          <w:szCs w:val="20"/>
        </w:rPr>
        <w:t xml:space="preserve">The Lawton Tube </w:t>
      </w:r>
      <w:r w:rsidRPr="00B64377">
        <w:rPr>
          <w:rFonts w:ascii="Arial" w:hAnsi="Arial" w:cs="Arial"/>
          <w:sz w:val="20"/>
          <w:szCs w:val="20"/>
        </w:rPr>
        <w:t>Group</w:t>
      </w:r>
      <w:r w:rsidR="005E6708">
        <w:rPr>
          <w:rFonts w:ascii="Arial" w:hAnsi="Arial" w:cs="Arial"/>
          <w:sz w:val="20"/>
          <w:szCs w:val="20"/>
        </w:rPr>
        <w:t>.</w:t>
      </w:r>
    </w:p>
    <w:p w14:paraId="415882DF" w14:textId="77777777" w:rsidR="004E4C52" w:rsidRPr="004E4C52" w:rsidRDefault="004E4C52" w:rsidP="007A0ECA">
      <w:pPr>
        <w:spacing w:after="0"/>
        <w:jc w:val="both"/>
        <w:rPr>
          <w:rFonts w:ascii="Arial" w:hAnsi="Arial" w:cs="Arial"/>
          <w:sz w:val="20"/>
          <w:szCs w:val="20"/>
        </w:rPr>
      </w:pPr>
    </w:p>
    <w:p w14:paraId="1D38F190" w14:textId="417442A1" w:rsidR="004E4C52" w:rsidRPr="004E4C52" w:rsidRDefault="004E4C52" w:rsidP="007A0ECA">
      <w:pPr>
        <w:spacing w:after="0"/>
        <w:jc w:val="both"/>
        <w:rPr>
          <w:rFonts w:ascii="Arial" w:hAnsi="Arial" w:cs="Arial"/>
          <w:sz w:val="20"/>
          <w:szCs w:val="20"/>
        </w:rPr>
      </w:pPr>
      <w:r w:rsidRPr="004E4C52">
        <w:rPr>
          <w:rFonts w:ascii="Arial" w:hAnsi="Arial" w:cs="Arial"/>
          <w:sz w:val="20"/>
          <w:szCs w:val="20"/>
        </w:rPr>
        <w:t>J</w:t>
      </w:r>
      <w:r>
        <w:rPr>
          <w:rFonts w:ascii="Arial" w:hAnsi="Arial" w:cs="Arial"/>
          <w:sz w:val="20"/>
          <w:szCs w:val="20"/>
        </w:rPr>
        <w:t>une</w:t>
      </w:r>
      <w:r w:rsidRPr="004E4C52">
        <w:rPr>
          <w:rFonts w:ascii="Arial" w:hAnsi="Arial" w:cs="Arial"/>
          <w:sz w:val="20"/>
          <w:szCs w:val="20"/>
        </w:rPr>
        <w:t xml:space="preserve"> 202</w:t>
      </w:r>
      <w:r w:rsidR="0037484B">
        <w:rPr>
          <w:rFonts w:ascii="Arial" w:hAnsi="Arial" w:cs="Arial"/>
          <w:sz w:val="20"/>
          <w:szCs w:val="20"/>
        </w:rPr>
        <w:t>5</w:t>
      </w:r>
    </w:p>
    <w:sectPr w:rsidR="004E4C52" w:rsidRPr="004E4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7BF3"/>
    <w:multiLevelType w:val="hybridMultilevel"/>
    <w:tmpl w:val="3DB6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C22FA"/>
    <w:multiLevelType w:val="hybridMultilevel"/>
    <w:tmpl w:val="9D96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27F0C"/>
    <w:multiLevelType w:val="hybridMultilevel"/>
    <w:tmpl w:val="6F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17992"/>
    <w:multiLevelType w:val="hybridMultilevel"/>
    <w:tmpl w:val="4A7A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63F32"/>
    <w:multiLevelType w:val="multilevel"/>
    <w:tmpl w:val="534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534834">
    <w:abstractNumId w:val="1"/>
  </w:num>
  <w:num w:numId="2" w16cid:durableId="265887795">
    <w:abstractNumId w:val="0"/>
  </w:num>
  <w:num w:numId="3" w16cid:durableId="1587691654">
    <w:abstractNumId w:val="4"/>
  </w:num>
  <w:num w:numId="4" w16cid:durableId="955602724">
    <w:abstractNumId w:val="3"/>
  </w:num>
  <w:num w:numId="5" w16cid:durableId="96176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52"/>
    <w:rsid w:val="00060AF8"/>
    <w:rsid w:val="000707D8"/>
    <w:rsid w:val="000E7DF5"/>
    <w:rsid w:val="00143433"/>
    <w:rsid w:val="00155D05"/>
    <w:rsid w:val="002275D3"/>
    <w:rsid w:val="0023736E"/>
    <w:rsid w:val="00296973"/>
    <w:rsid w:val="002D390A"/>
    <w:rsid w:val="00332487"/>
    <w:rsid w:val="0037484B"/>
    <w:rsid w:val="003A46EE"/>
    <w:rsid w:val="003C1A6D"/>
    <w:rsid w:val="0047719D"/>
    <w:rsid w:val="00490118"/>
    <w:rsid w:val="004C4B7A"/>
    <w:rsid w:val="004E4C52"/>
    <w:rsid w:val="005421E1"/>
    <w:rsid w:val="005E6708"/>
    <w:rsid w:val="0069379D"/>
    <w:rsid w:val="007322AD"/>
    <w:rsid w:val="00796207"/>
    <w:rsid w:val="007A0ECA"/>
    <w:rsid w:val="007C0E5A"/>
    <w:rsid w:val="008E1EAE"/>
    <w:rsid w:val="00904C2B"/>
    <w:rsid w:val="00B64377"/>
    <w:rsid w:val="00B75435"/>
    <w:rsid w:val="00BE1EB5"/>
    <w:rsid w:val="00D40D83"/>
    <w:rsid w:val="00D42F91"/>
    <w:rsid w:val="00D90FEA"/>
    <w:rsid w:val="00E07AFF"/>
    <w:rsid w:val="00E83264"/>
    <w:rsid w:val="00E972B1"/>
    <w:rsid w:val="00FC5E3A"/>
    <w:rsid w:val="00FD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3A0"/>
  <w15:chartTrackingRefBased/>
  <w15:docId w15:val="{BACF4353-3859-4EDB-A706-D86FC4FC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C52"/>
    <w:rPr>
      <w:rFonts w:eastAsiaTheme="majorEastAsia" w:cstheme="majorBidi"/>
      <w:color w:val="272727" w:themeColor="text1" w:themeTint="D8"/>
    </w:rPr>
  </w:style>
  <w:style w:type="paragraph" w:styleId="Title">
    <w:name w:val="Title"/>
    <w:basedOn w:val="Normal"/>
    <w:next w:val="Normal"/>
    <w:link w:val="TitleChar"/>
    <w:uiPriority w:val="10"/>
    <w:qFormat/>
    <w:rsid w:val="004E4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C52"/>
    <w:pPr>
      <w:spacing w:before="160"/>
      <w:jc w:val="center"/>
    </w:pPr>
    <w:rPr>
      <w:i/>
      <w:iCs/>
      <w:color w:val="404040" w:themeColor="text1" w:themeTint="BF"/>
    </w:rPr>
  </w:style>
  <w:style w:type="character" w:customStyle="1" w:styleId="QuoteChar">
    <w:name w:val="Quote Char"/>
    <w:basedOn w:val="DefaultParagraphFont"/>
    <w:link w:val="Quote"/>
    <w:uiPriority w:val="29"/>
    <w:rsid w:val="004E4C52"/>
    <w:rPr>
      <w:i/>
      <w:iCs/>
      <w:color w:val="404040" w:themeColor="text1" w:themeTint="BF"/>
    </w:rPr>
  </w:style>
  <w:style w:type="paragraph" w:styleId="ListParagraph">
    <w:name w:val="List Paragraph"/>
    <w:basedOn w:val="Normal"/>
    <w:uiPriority w:val="34"/>
    <w:qFormat/>
    <w:rsid w:val="004E4C52"/>
    <w:pPr>
      <w:ind w:left="720"/>
      <w:contextualSpacing/>
    </w:pPr>
  </w:style>
  <w:style w:type="character" w:styleId="IntenseEmphasis">
    <w:name w:val="Intense Emphasis"/>
    <w:basedOn w:val="DefaultParagraphFont"/>
    <w:uiPriority w:val="21"/>
    <w:qFormat/>
    <w:rsid w:val="004E4C52"/>
    <w:rPr>
      <w:i/>
      <w:iCs/>
      <w:color w:val="0F4761" w:themeColor="accent1" w:themeShade="BF"/>
    </w:rPr>
  </w:style>
  <w:style w:type="paragraph" w:styleId="IntenseQuote">
    <w:name w:val="Intense Quote"/>
    <w:basedOn w:val="Normal"/>
    <w:next w:val="Normal"/>
    <w:link w:val="IntenseQuoteChar"/>
    <w:uiPriority w:val="30"/>
    <w:qFormat/>
    <w:rsid w:val="004E4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C52"/>
    <w:rPr>
      <w:i/>
      <w:iCs/>
      <w:color w:val="0F4761" w:themeColor="accent1" w:themeShade="BF"/>
    </w:rPr>
  </w:style>
  <w:style w:type="character" w:styleId="IntenseReference">
    <w:name w:val="Intense Reference"/>
    <w:basedOn w:val="DefaultParagraphFont"/>
    <w:uiPriority w:val="32"/>
    <w:qFormat/>
    <w:rsid w:val="004E4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Waterfield</dc:creator>
  <cp:keywords/>
  <dc:description/>
  <cp:lastModifiedBy>Shannon Stevenson</cp:lastModifiedBy>
  <cp:revision>2</cp:revision>
  <dcterms:created xsi:type="dcterms:W3CDTF">2025-08-07T09:04:00Z</dcterms:created>
  <dcterms:modified xsi:type="dcterms:W3CDTF">2025-08-07T09:04:00Z</dcterms:modified>
</cp:coreProperties>
</file>